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C" w:rsidRPr="00FA006C" w:rsidRDefault="00FA006C" w:rsidP="00FA006C">
      <w:pPr>
        <w:spacing w:before="100" w:beforeAutospacing="1" w:after="100" w:afterAutospacing="1" w:line="340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660000"/>
          <w:kern w:val="36"/>
          <w:sz w:val="34"/>
          <w:szCs w:val="34"/>
          <w:lang w:eastAsia="ru-RU"/>
        </w:rPr>
      </w:pPr>
      <w:r w:rsidRPr="00FA006C">
        <w:rPr>
          <w:rFonts w:ascii="Times New Roman" w:eastAsia="Times New Roman" w:hAnsi="Times New Roman" w:cs="Times New Roman"/>
          <w:b/>
          <w:bCs/>
          <w:color w:val="660000"/>
          <w:kern w:val="36"/>
          <w:sz w:val="34"/>
          <w:szCs w:val="34"/>
          <w:lang w:eastAsia="ru-RU"/>
        </w:rPr>
        <w:t>Теоретическая и прикладная лингвистика</w:t>
      </w:r>
    </w:p>
    <w:p w:rsidR="00FA006C" w:rsidRPr="00FA006C" w:rsidRDefault="00FA006C" w:rsidP="00FA006C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00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Настоящая книга, как показывает ее название, посвящена доказательству необходимости тесной взаимосвязи теоретического и прикладного аспектов науки о языке. Книга делится на две части. В первой излагаются основные проблемы теоретической лингвистики. Во второй части рассматриваются пути решения конкретных проблем прикладной лингвистики, дается оценка отдельных методов их решения и намечаются новые пути их исследования. Учебное пособие предназначено для студентов-филологов и окажет существенную помощь при изучении курсов 'Введение в языкознание' и 'Общее языкознание'.</w:t>
      </w:r>
    </w:p>
    <w:p w:rsidR="00FA006C" w:rsidRPr="00FA006C" w:rsidRDefault="0093388F" w:rsidP="00FA006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О книге</w:t>
        </w:r>
      </w:hyperlink>
    </w:p>
    <w:p w:rsidR="00FA006C" w:rsidRPr="00FA006C" w:rsidRDefault="0093388F" w:rsidP="00FA006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Предисловие</w:t>
        </w:r>
      </w:hyperlink>
    </w:p>
    <w:p w:rsidR="00FA006C" w:rsidRPr="00FA006C" w:rsidRDefault="0093388F" w:rsidP="00FA006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Часть первая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Новые черты и проблемы современного языкознания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Система семантических (семасиологических) исследований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К типологии значений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Значение с функциональной точки зрения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Язык и поведение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Язык и речь в их отношениях друг к другу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Значение как факт языка и как факт речи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Замечания о лексической синонимии</w:t>
        </w:r>
      </w:hyperlink>
    </w:p>
    <w:p w:rsidR="00FA006C" w:rsidRPr="00FA006C" w:rsidRDefault="0093388F" w:rsidP="00FA006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Часть вторая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Два подхода к изучению языка</w:t>
        </w:r>
      </w:hyperlink>
    </w:p>
    <w:p w:rsidR="00FA006C" w:rsidRPr="00FA006C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" w:history="1">
        <w:r w:rsidR="00FA006C" w:rsidRPr="00FA006C">
          <w:rPr>
            <w:rFonts w:ascii="Times New Roman" w:eastAsia="Times New Roman" w:hAnsi="Times New Roman" w:cs="Times New Roman"/>
            <w:color w:val="990000"/>
            <w:sz w:val="27"/>
            <w:szCs w:val="27"/>
            <w:lang w:eastAsia="ru-RU"/>
          </w:rPr>
          <w:t>Автоматическая обработка речевой информации и ее лингвистические проблемы</w:t>
        </w:r>
      </w:hyperlink>
    </w:p>
    <w:p w:rsidR="00FA006C" w:rsidRPr="007B7F5F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>Применение в лингвистике логико-математических методов</w:t>
        </w:r>
      </w:hyperlink>
    </w:p>
    <w:p w:rsidR="00FA006C" w:rsidRPr="007B7F5F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FA006C" w:rsidRPr="007B7F5F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Избыточность и уровни понимания</w:t>
        </w:r>
      </w:hyperlink>
    </w:p>
    <w:p w:rsidR="00FA006C" w:rsidRPr="007B7F5F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>Значение и понимание с точки зрения машины</w:t>
        </w:r>
      </w:hyperlink>
    </w:p>
    <w:p w:rsidR="00FA006C" w:rsidRPr="007B7F5F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>Лингвистика универсалии (универсализм)</w:t>
        </w:r>
      </w:hyperlink>
    </w:p>
    <w:p w:rsidR="00FA006C" w:rsidRPr="007B7F5F" w:rsidRDefault="0093388F" w:rsidP="00FA006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>Заключение. Кибернетические устройства и их отношение к языку и жизни человека</w:t>
        </w:r>
      </w:hyperlink>
    </w:p>
    <w:bookmarkStart w:id="0" w:name="_GoBack"/>
    <w:p w:rsidR="00FA006C" w:rsidRPr="007B7F5F" w:rsidRDefault="0093388F" w:rsidP="00FA006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5F">
        <w:rPr>
          <w:rFonts w:ascii="Times New Roman" w:hAnsi="Times New Roman" w:cs="Times New Roman"/>
          <w:sz w:val="28"/>
          <w:szCs w:val="28"/>
        </w:rPr>
        <w:fldChar w:fldCharType="begin"/>
      </w:r>
      <w:r w:rsidRPr="007B7F5F">
        <w:rPr>
          <w:rFonts w:ascii="Times New Roman" w:hAnsi="Times New Roman" w:cs="Times New Roman"/>
          <w:sz w:val="28"/>
          <w:szCs w:val="28"/>
        </w:rPr>
        <w:instrText xml:space="preserve"> HYPERLINK "http://genling.ru/books/item/f00/s00/z0000031/st017.shtml" </w:instrText>
      </w:r>
      <w:r w:rsidRPr="007B7F5F">
        <w:rPr>
          <w:rFonts w:ascii="Times New Roman" w:hAnsi="Times New Roman" w:cs="Times New Roman"/>
          <w:sz w:val="28"/>
          <w:szCs w:val="28"/>
        </w:rPr>
        <w:fldChar w:fldCharType="separate"/>
      </w:r>
      <w:r w:rsidR="00FA006C" w:rsidRPr="007B7F5F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 xml:space="preserve">Приложение. Процедура анализа текста с целью выявления </w:t>
      </w:r>
      <w:proofErr w:type="spellStart"/>
      <w:r w:rsidR="00FA006C" w:rsidRPr="007B7F5F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моносем</w:t>
      </w:r>
      <w:proofErr w:type="spellEnd"/>
      <w:r w:rsidRPr="007B7F5F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fldChar w:fldCharType="end"/>
      </w:r>
    </w:p>
    <w:bookmarkEnd w:id="0"/>
    <w:p w:rsidR="00FA006C" w:rsidRPr="007B7F5F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5F">
        <w:rPr>
          <w:rFonts w:ascii="Times New Roman" w:hAnsi="Times New Roman" w:cs="Times New Roman"/>
          <w:sz w:val="28"/>
          <w:szCs w:val="28"/>
        </w:rPr>
        <w:fldChar w:fldCharType="begin"/>
      </w:r>
      <w:r w:rsidRPr="007B7F5F">
        <w:rPr>
          <w:rFonts w:ascii="Times New Roman" w:hAnsi="Times New Roman" w:cs="Times New Roman"/>
          <w:sz w:val="28"/>
          <w:szCs w:val="28"/>
        </w:rPr>
        <w:instrText xml:space="preserve"> HYPERLINK "http://genling.ru/books/item/f00/s00/z0000031/st018.shtml" </w:instrText>
      </w:r>
      <w:r w:rsidRPr="007B7F5F">
        <w:rPr>
          <w:rFonts w:ascii="Times New Roman" w:hAnsi="Times New Roman" w:cs="Times New Roman"/>
          <w:sz w:val="28"/>
          <w:szCs w:val="28"/>
        </w:rPr>
        <w:fldChar w:fldCharType="separate"/>
      </w:r>
      <w:r w:rsidR="00FA006C" w:rsidRPr="007B7F5F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Текст</w:t>
      </w:r>
      <w:r w:rsidRPr="007B7F5F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fldChar w:fldCharType="end"/>
      </w:r>
    </w:p>
    <w:p w:rsidR="00FA006C" w:rsidRPr="007B7F5F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>Словник</w:t>
        </w:r>
      </w:hyperlink>
    </w:p>
    <w:p w:rsidR="00FA006C" w:rsidRPr="007B7F5F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>Словарь словосочетаний</w:t>
        </w:r>
      </w:hyperlink>
    </w:p>
    <w:p w:rsidR="00FA006C" w:rsidRPr="007B7F5F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>Текст</w:t>
        </w:r>
      </w:hyperlink>
    </w:p>
    <w:p w:rsidR="00FA006C" w:rsidRPr="007B7F5F" w:rsidRDefault="0093388F" w:rsidP="00FA006C">
      <w:pPr>
        <w:numPr>
          <w:ilvl w:val="1"/>
          <w:numId w:val="1"/>
        </w:numPr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 xml:space="preserve">Схема </w:t>
        </w:r>
        <w:proofErr w:type="spellStart"/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>дистрибуций</w:t>
        </w:r>
        <w:proofErr w:type="spellEnd"/>
        <w:r w:rsidR="00FA006C" w:rsidRPr="007B7F5F">
          <w:rPr>
            <w:rFonts w:ascii="Times New Roman" w:eastAsia="Times New Roman" w:hAnsi="Times New Roman" w:cs="Times New Roman"/>
            <w:color w:val="990000"/>
            <w:sz w:val="28"/>
            <w:szCs w:val="28"/>
            <w:lang w:eastAsia="ru-RU"/>
          </w:rPr>
          <w:t xml:space="preserve"> слов</w:t>
        </w:r>
      </w:hyperlink>
    </w:p>
    <w:p w:rsidR="00FA006C" w:rsidRPr="00FA006C" w:rsidRDefault="00FA006C" w:rsidP="00FA006C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00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Источник:</w:t>
      </w:r>
      <w:r w:rsidRPr="00FA00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A00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Звегинцев</w:t>
      </w:r>
      <w:proofErr w:type="gramEnd"/>
      <w:r w:rsidRPr="00FA00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В.А. 'Теоретическая и прикладная лингвистика' - Москва: Просвещение, 1968 - с.338</w:t>
      </w:r>
    </w:p>
    <w:p w:rsidR="003635D9" w:rsidRDefault="003635D9"/>
    <w:sectPr w:rsidR="0036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316F8"/>
    <w:multiLevelType w:val="multilevel"/>
    <w:tmpl w:val="C88C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C6"/>
    <w:rsid w:val="003635D9"/>
    <w:rsid w:val="007B7F5F"/>
    <w:rsid w:val="007C36C6"/>
    <w:rsid w:val="0093388F"/>
    <w:rsid w:val="00F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28E0F-88BA-4A80-B30F-06AE1E8B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06C"/>
    <w:rPr>
      <w:color w:val="0000FF"/>
      <w:u w:val="single"/>
    </w:rPr>
  </w:style>
  <w:style w:type="paragraph" w:customStyle="1" w:styleId="sources">
    <w:name w:val="sources"/>
    <w:basedOn w:val="a"/>
    <w:rsid w:val="00FA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ling.ru/books/item/f00/s00/z0000031/st002.shtml" TargetMode="External"/><Relationship Id="rId13" Type="http://schemas.openxmlformats.org/officeDocument/2006/relationships/hyperlink" Target="http://genling.ru/books/item/f00/s00/z0000031/st007.shtml" TargetMode="External"/><Relationship Id="rId18" Type="http://schemas.openxmlformats.org/officeDocument/2006/relationships/hyperlink" Target="http://genling.ru/books/item/f00/s00/z0000031/st011.shtml" TargetMode="External"/><Relationship Id="rId26" Type="http://schemas.openxmlformats.org/officeDocument/2006/relationships/hyperlink" Target="http://genling.ru/books/item/f00/s00/z0000031/st021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nling.ru/books/item/f00/s00/z0000031/st014.shtml" TargetMode="External"/><Relationship Id="rId7" Type="http://schemas.openxmlformats.org/officeDocument/2006/relationships/hyperlink" Target="http://genling.ru/books/item/f00/s00/z0000031/st002.shtml" TargetMode="External"/><Relationship Id="rId12" Type="http://schemas.openxmlformats.org/officeDocument/2006/relationships/hyperlink" Target="http://genling.ru/books/item/f00/s00/z0000031/st006.shtml" TargetMode="External"/><Relationship Id="rId17" Type="http://schemas.openxmlformats.org/officeDocument/2006/relationships/hyperlink" Target="http://genling.ru/books/item/f00/s00/z0000031/st010.shtml" TargetMode="External"/><Relationship Id="rId25" Type="http://schemas.openxmlformats.org/officeDocument/2006/relationships/hyperlink" Target="http://genling.ru/books/item/f00/s00/z0000031/st020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genling.ru/books/item/f00/s00/z0000031/st010.shtml" TargetMode="External"/><Relationship Id="rId20" Type="http://schemas.openxmlformats.org/officeDocument/2006/relationships/hyperlink" Target="http://genling.ru/books/item/f00/s00/z0000031/st013.s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enling.ru/books/item/f00/s00/z0000031/st001.shtml" TargetMode="External"/><Relationship Id="rId11" Type="http://schemas.openxmlformats.org/officeDocument/2006/relationships/hyperlink" Target="http://genling.ru/books/item/f00/s00/z0000031/st005.shtml" TargetMode="External"/><Relationship Id="rId24" Type="http://schemas.openxmlformats.org/officeDocument/2006/relationships/hyperlink" Target="http://genling.ru/books/item/f00/s00/z0000031/st019.shtml" TargetMode="External"/><Relationship Id="rId5" Type="http://schemas.openxmlformats.org/officeDocument/2006/relationships/hyperlink" Target="http://genling.ru/books/item/f00/s00/z0000031/st000.shtml" TargetMode="External"/><Relationship Id="rId15" Type="http://schemas.openxmlformats.org/officeDocument/2006/relationships/hyperlink" Target="http://genling.ru/books/item/f00/s00/z0000031/st009.shtml" TargetMode="External"/><Relationship Id="rId23" Type="http://schemas.openxmlformats.org/officeDocument/2006/relationships/hyperlink" Target="http://genling.ru/books/item/f00/s00/z0000031/st016.s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enling.ru/books/item/f00/s00/z0000031/st004.shtml" TargetMode="External"/><Relationship Id="rId19" Type="http://schemas.openxmlformats.org/officeDocument/2006/relationships/hyperlink" Target="http://genling.ru/books/item/f00/s00/z0000031/st01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ling.ru/books/item/f00/s00/z0000031/st003.shtml" TargetMode="External"/><Relationship Id="rId14" Type="http://schemas.openxmlformats.org/officeDocument/2006/relationships/hyperlink" Target="http://genling.ru/books/item/f00/s00/z0000031/st008.shtml" TargetMode="External"/><Relationship Id="rId22" Type="http://schemas.openxmlformats.org/officeDocument/2006/relationships/hyperlink" Target="http://genling.ru/books/item/f00/s00/z0000031/st015.shtml" TargetMode="External"/><Relationship Id="rId27" Type="http://schemas.openxmlformats.org/officeDocument/2006/relationships/hyperlink" Target="http://genling.ru/books/item/f00/s00/z0000031/st02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2020-01-16T04:33:00Z</dcterms:created>
  <dcterms:modified xsi:type="dcterms:W3CDTF">2020-04-08T07:38:00Z</dcterms:modified>
</cp:coreProperties>
</file>